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D0" w:rsidRDefault="00192FD0" w:rsidP="00192FD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РЕПУБЛИКА СРБИЈА</w:t>
      </w:r>
    </w:p>
    <w:p w:rsidR="00192FD0" w:rsidRDefault="00192FD0" w:rsidP="00192F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НАРОДНА СКУПШТИНА</w:t>
      </w:r>
    </w:p>
    <w:p w:rsidR="00192FD0" w:rsidRDefault="00192FD0" w:rsidP="00192F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Одбор за здравље и породицу</w:t>
      </w:r>
    </w:p>
    <w:p w:rsidR="00192FD0" w:rsidRDefault="00192FD0" w:rsidP="00192F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 Број: 06-2/77-15</w:t>
      </w:r>
    </w:p>
    <w:p w:rsidR="00192FD0" w:rsidRDefault="00192FD0" w:rsidP="00192F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24.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фебруар  2015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године</w:t>
      </w:r>
      <w:proofErr w:type="gramEnd"/>
    </w:p>
    <w:p w:rsidR="00192FD0" w:rsidRDefault="00192FD0" w:rsidP="00192F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 е о г р а д</w:t>
      </w:r>
    </w:p>
    <w:p w:rsidR="00192FD0" w:rsidRDefault="00192FD0" w:rsidP="00192F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FD0" w:rsidRDefault="00192FD0" w:rsidP="00192FD0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ЗАПИСНИК</w:t>
      </w:r>
    </w:p>
    <w:p w:rsidR="00192FD0" w:rsidRDefault="00192FD0" w:rsidP="00192F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 СЕДНИЦЕ ОДБОРА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ЗА ЗДРАВЉЕ И ПОРОДИЦУ </w:t>
      </w:r>
    </w:p>
    <w:p w:rsidR="00192FD0" w:rsidRDefault="00192FD0" w:rsidP="00192FD0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ОДРЖАНЕ 25.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ФЕБРУАРА 2015.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ГОДИНЕ</w:t>
      </w: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FD0" w:rsidRDefault="00192FD0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Седница је почела у 10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,30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часова.</w:t>
      </w:r>
    </w:p>
    <w:p w:rsidR="00192FD0" w:rsidRDefault="00192FD0" w:rsidP="00192F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192FD0" w:rsidRDefault="00192FD0" w:rsidP="00192F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</w:rPr>
        <w:t>Седници је председавала проф.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Славица Ђукић Дејановић, председник Одбора.</w:t>
      </w:r>
    </w:p>
    <w:p w:rsidR="00192FD0" w:rsidRDefault="00192FD0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Седници су присуствовали чланови Одбора:  др Бранислав Блажић, др Нинослав Гирић, проф.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Милан Кнежевић, проф.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Милета Поскурица, др Александар Радојевић, мр.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Љубица Мрдаковић Тодоровић, др Весна Ракоњац, др Радослав Јовић,  др сц.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  Дарко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Лакетић, Елвира Ковач, др Милан Латковић, проф.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Душан Милисављевић, Милена Ћорилић и др Љиљана Косорић.</w:t>
      </w:r>
    </w:p>
    <w:p w:rsidR="00192FD0" w:rsidRDefault="00192FD0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Седници је присуствовала заменик одсутног члана Одбора: др Драгана Баришић (др Предраг Мијатовић).</w:t>
      </w:r>
    </w:p>
    <w:p w:rsidR="00192FD0" w:rsidRDefault="00192FD0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Седници није присуствовала члан Одбора Невена Стојановић, као ни њен заменик.</w:t>
      </w:r>
      <w:proofErr w:type="gramEnd"/>
    </w:p>
    <w:p w:rsidR="00192FD0" w:rsidRDefault="00192FD0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Поред чланова Одбора, седници су присуствовале народне посланице: др Љиљана Бероња и др Миљана Николић.</w:t>
      </w:r>
    </w:p>
    <w:p w:rsidR="00192FD0" w:rsidRDefault="00192FD0" w:rsidP="00192FD0">
      <w:pPr>
        <w:ind w:firstLine="720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Седници су присуствовали: министар здравља асс.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Златибор Лончар, и државни секретар проф. др Берислав Векић; министар просвете, науке и технолошког развоја др Срђан Вербић и државни секретар Снежана Марковић; в.д. директор  Републичког фонда за здравствено осигурање, др Верица Лазић и помоћник директора Сектора за лекове и фармакологију Весна Вуковић; директор Института за јавно здравље Србије „Др Милан Јовановић Батут“, прим.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сц.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мед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Драган Илић и шеф Одељења за надзор над вакцинама превентабилним болестима и имунизацију др Горанка Лончаревић; директор Агенције за лекове и медицинска средства Србије спец.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Саша Јаћовић и руководилац Центра за хумане лекове дипл.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фарм</w:t>
      </w:r>
      <w:proofErr w:type="gramEnd"/>
      <w:r>
        <w:rPr>
          <w:rFonts w:ascii="Times New Roman" w:eastAsia="Times New Roman" w:hAnsi="Times New Roman"/>
          <w:sz w:val="24"/>
          <w:szCs w:val="24"/>
        </w:rPr>
        <w:t>. Јадранка Мирковић; председник Републичке стручне комисије за заштиту становништва од заразних болести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  проф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Мијомир Пелемиш; директор Института за вирусологију, вакцине и серуме „Торлак“ др Вера Стоиљковић; председник Педијатријске секције Српског лекарског друштва, проф.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Недељко Радловић; представник Лиге за имунизацију </w:t>
      </w:r>
      <w:r w:rsidRPr="00907B95">
        <w:rPr>
          <w:rFonts w:ascii="Times New Roman" w:hAnsi="Times New Roman"/>
          <w:sz w:val="24"/>
          <w:szCs w:val="24"/>
          <w:lang w:eastAsia="en-GB"/>
        </w:rPr>
        <w:t>др Срђа Јанковић, Универзитетска дечија клиника у Београду</w:t>
      </w:r>
      <w:r>
        <w:rPr>
          <w:rFonts w:ascii="Times New Roman" w:hAnsi="Times New Roman"/>
          <w:sz w:val="24"/>
          <w:szCs w:val="24"/>
          <w:lang w:eastAsia="en-GB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 xml:space="preserve">неонатолог у ГАК Народни фронт прим.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Љиљана Станковић и председник Удружења „Родитељ“ Драгана Соћанин.</w:t>
      </w:r>
    </w:p>
    <w:p w:rsidR="00192FD0" w:rsidRDefault="00192FD0" w:rsidP="00192FD0">
      <w:pPr>
        <w:ind w:firstLine="720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192FD0" w:rsidRDefault="00192FD0" w:rsidP="00192FD0">
      <w:pPr>
        <w:ind w:firstLine="720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192FD0" w:rsidRPr="002147E6" w:rsidRDefault="00192FD0" w:rsidP="00192FD0">
      <w:pPr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На предлог председнице Одбора, једногласно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je  усвојен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следећи:</w:t>
      </w:r>
    </w:p>
    <w:p w:rsidR="00192FD0" w:rsidRDefault="00192FD0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92FD0" w:rsidRDefault="00192FD0" w:rsidP="00192F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Д н е в н и   р е д</w:t>
      </w:r>
    </w:p>
    <w:p w:rsidR="00192FD0" w:rsidRDefault="00192FD0" w:rsidP="00192FD0">
      <w:pPr>
        <w:pStyle w:val="ListParagraph"/>
        <w:ind w:left="1080"/>
        <w:jc w:val="both"/>
        <w:rPr>
          <w:b w:val="0"/>
        </w:rPr>
      </w:pPr>
    </w:p>
    <w:p w:rsidR="00192FD0" w:rsidRPr="005D6AF0" w:rsidRDefault="00192FD0" w:rsidP="00192FD0">
      <w:pPr>
        <w:pStyle w:val="ListParagraph"/>
        <w:numPr>
          <w:ilvl w:val="0"/>
          <w:numId w:val="2"/>
        </w:numPr>
        <w:jc w:val="both"/>
        <w:rPr>
          <w:b w:val="0"/>
          <w:u w:val="none"/>
        </w:rPr>
      </w:pPr>
      <w:r w:rsidRPr="005D6AF0">
        <w:rPr>
          <w:b w:val="0"/>
          <w:u w:val="none"/>
        </w:rPr>
        <w:t xml:space="preserve">Информисање о актуелном стању у области вакцинације </w:t>
      </w: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FD0" w:rsidRDefault="00192FD0" w:rsidP="00192F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 преласка нa </w:t>
      </w:r>
      <w:r>
        <w:rPr>
          <w:rFonts w:ascii="Times New Roman" w:hAnsi="Times New Roman"/>
          <w:sz w:val="24"/>
          <w:szCs w:val="24"/>
        </w:rPr>
        <w:t>разматрање у</w:t>
      </w:r>
      <w:r>
        <w:rPr>
          <w:rFonts w:ascii="Times New Roman" w:hAnsi="Times New Roman"/>
          <w:sz w:val="24"/>
          <w:szCs w:val="24"/>
          <w:lang w:val="sr-Cyrl-CS"/>
        </w:rPr>
        <w:t>тврђеног дневног реда усвојени су, без примедаба, записници 13, 15, 16, 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и 18. седнице Одбора, које су одржане 22. децембра 2014. године, 22. и 23. јануара 2015. године. </w:t>
      </w:r>
    </w:p>
    <w:p w:rsidR="00192FD0" w:rsidRDefault="00192FD0" w:rsidP="00192F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2FD0" w:rsidRDefault="00192FD0" w:rsidP="00192FD0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</w:rPr>
        <w:t>Милена Ћорилић је истакла значај теме која је на дневном реду те је сугерисала да се записник са 16.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седнице</w:t>
      </w:r>
      <w:proofErr w:type="gramEnd"/>
      <w:r>
        <w:rPr>
          <w:rFonts w:ascii="Times New Roman" w:eastAsia="Times New Roman" w:hAnsi="Times New Roman"/>
          <w:sz w:val="24"/>
        </w:rPr>
        <w:t xml:space="preserve"> представи јавности с обзиром на значај и вредност излагања наших еминентних стручњака и других учесника у раду ове седнице, чије мишљење треба да помогне родитељима и грађанима поводом дилема о вакцинацији. </w:t>
      </w: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Прва тачка дневног реда-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Информисање о актуелном стању у области вакцинације </w:t>
      </w:r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92FD0" w:rsidRPr="00D03D74" w:rsidRDefault="00192FD0" w:rsidP="00192F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                 </w:t>
      </w:r>
      <w:proofErr w:type="gramStart"/>
      <w:r>
        <w:rPr>
          <w:rFonts w:ascii="Times New Roman" w:eastAsia="Times New Roman" w:hAnsi="Times New Roman"/>
          <w:sz w:val="24"/>
        </w:rPr>
        <w:t>Председник Oдбора проф.</w:t>
      </w:r>
      <w:proofErr w:type="gramEnd"/>
      <w:r>
        <w:rPr>
          <w:rFonts w:ascii="Times New Roman" w:eastAsia="Times New Roman" w:hAnsi="Times New Roman"/>
          <w:sz w:val="24"/>
        </w:rPr>
        <w:t xml:space="preserve"> др Славица Ђукић Дејановић обавестила је присутне да се информисање о</w:t>
      </w:r>
      <w:r>
        <w:rPr>
          <w:rFonts w:ascii="Times New Roman" w:hAnsi="Times New Roman"/>
          <w:sz w:val="24"/>
          <w:szCs w:val="24"/>
        </w:rPr>
        <w:t xml:space="preserve"> овој теми одвија у складу са закључком који је усвојен на претходној седници, и да је евалуација стања у области вакцинисања као и </w:t>
      </w:r>
      <w:r>
        <w:rPr>
          <w:rFonts w:ascii="Times New Roman" w:hAnsi="Times New Roman"/>
          <w:sz w:val="24"/>
          <w:szCs w:val="24"/>
          <w:lang w:val="sr-Cyrl-CS"/>
        </w:rPr>
        <w:t xml:space="preserve">едукација јавности о значају имунизације у спречавању обољевања од заразних болести- </w:t>
      </w:r>
      <w:r>
        <w:rPr>
          <w:rFonts w:ascii="Times New Roman" w:hAnsi="Times New Roman"/>
          <w:sz w:val="24"/>
          <w:szCs w:val="24"/>
        </w:rPr>
        <w:t xml:space="preserve">обавеза овог одбора Одбора док за то постоји потреба. </w:t>
      </w:r>
      <w:proofErr w:type="gramStart"/>
      <w:r>
        <w:rPr>
          <w:rFonts w:ascii="Times New Roman" w:hAnsi="Times New Roman"/>
          <w:sz w:val="24"/>
          <w:szCs w:val="24"/>
        </w:rPr>
        <w:t>Затим је отворила дискусију о овој теми.</w:t>
      </w:r>
      <w:proofErr w:type="gramEnd"/>
    </w:p>
    <w:p w:rsidR="00192FD0" w:rsidRDefault="00192FD0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 дискусији су учествовали: прим.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сц.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мед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Драган Илић, проф.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Душан Милисављевић, проф.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Славица Ђукић Дејановић, министар просвете, науке и технолошког развоја др Срђан Вербић, др Радослав Јовић, министар здравља асс.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Златибор Лончар, др Мијомир Пелемиш, проф Недељко Радловић, прим.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Љиљана Станковић, др Бранислав Блажић и Драгана Соћанин.</w:t>
      </w:r>
    </w:p>
    <w:p w:rsidR="00192FD0" w:rsidRDefault="00192FD0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Прим. др сц.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мед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Драган Илић, директор Института за јавно здравље Србије „Др Милан Јовановић Батут“ указао је на ставове са претходне седнице овог одбора  o потреби да се подигне информисаност јавности и укљученост стручне јавности у процес афирмације вакцинације, те је тим поводом изнео чињенице које су обележиле  протеклих месец дана: забележен је бољи одговор медија о значају вакцинације уз учешће стручне јавности и грађана; уследиле су активности  након негодовање једног дела родитеља поводом решења из </w:t>
      </w:r>
      <w:r w:rsidRPr="00D03D74">
        <w:rPr>
          <w:rFonts w:ascii="Times New Roman" w:eastAsia="Times New Roman" w:hAnsi="Times New Roman"/>
          <w:sz w:val="24"/>
          <w:szCs w:val="24"/>
        </w:rPr>
        <w:t xml:space="preserve">Правилника о имунизацији и начину заштите лековима, </w:t>
      </w:r>
      <w:r>
        <w:rPr>
          <w:rFonts w:ascii="Times New Roman" w:eastAsia="Times New Roman" w:hAnsi="Times New Roman"/>
          <w:sz w:val="24"/>
          <w:szCs w:val="24"/>
        </w:rPr>
        <w:t xml:space="preserve">које се односи на коришћење пентаксим вакцине за децу која су рођена после 1.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новембра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2014.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Након састанка са Заштитником грађана, заузет је став да је неопходно поступати у складу са новим Правилником, те је овај институт кроз упутства која је пласирао преко мреже института и завода, преко домова здравља, као и путем медија, информисао лекаре и родитеље о вакцинацији деце у складу са новим актом.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Додао је да ће се у наредном периоду обезбедити довољне количине ове вакцине и да неће бити застоја у њеној испоруци.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Нагласио је да </w:t>
      </w:r>
      <w:r>
        <w:rPr>
          <w:rFonts w:ascii="Times New Roman" w:eastAsia="Times New Roman" w:hAnsi="Times New Roman"/>
          <w:sz w:val="24"/>
          <w:szCs w:val="24"/>
        </w:rPr>
        <w:lastRenderedPageBreak/>
        <w:t>нас у марту месецу очекује недеља имунизације и да сви треба да је искористимо за промоцију вакцинације на најбољи могући начин.</w:t>
      </w:r>
      <w:proofErr w:type="gramEnd"/>
    </w:p>
    <w:p w:rsidR="00192FD0" w:rsidRDefault="00192FD0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Проф. др Душан Милисављевић истакао је да подржава активности државе у циљу афирмације вакцинације коју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сматра  цивилизацијским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добром.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Навео је да одређени људи шире антикампању против вакцинације путем друштвених мрежа, те да ово деловање треба третирати као надрилекарство, јер ти људи немају лиценцу и нису лекари.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Њихово деловање представља кривично дело и те особе морају бити процесуиране с обзиром да су последице невакцинације комплексне и да доводе у питање здравље детета и здравље друштва.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Затим је сугерисао: да се ускладе Закон о заштити становништва од заразних болести и Закон о правима пацијената како би се отклониле недумице у примени ових прописа, а медијима да за саговорнике о овим темама бирају људе из струке.</w:t>
      </w:r>
    </w:p>
    <w:p w:rsidR="00192FD0" w:rsidRDefault="00192FD0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Председник Одбора, проф.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Славица Ђукић Дејановић, обавестила је присутне да је идеја била да се на ову седницу позову и људи који о вакцинацији говоре супротно од струке, али да смо установили да не постоји ни једно удружење ових грађана, иако су појединачно и даље веома активни у медијима. </w:t>
      </w:r>
    </w:p>
    <w:p w:rsidR="00192FD0" w:rsidRDefault="00192FD0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Министар просвете, науке и технолошког развоја др Срђан Вербић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  изнео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је да је антикампања против обавезне имунизације тема која није само здравствена већ је шире конципирана и обухвата све сегменте друштва.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Упозорио је на то да у обиљу информација, у свету у којем данас живимо, често изостаје критички осврт на многе пласиране информације.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Сматра да активности на афирмацији вакцинације дају добре резултате, те да их уз већу подршку медија и стручњака треба наставити.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Овакве кампање имају за циљ едукацију становништва, развијање критичког мишљења и вештине процене ризика, како би и убудуће били спремни да реагујемо на неки нови проблем без обзира на област.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Истиче да друштвене мреже јесу механизам да дођемо до великог броја информација, али ако се примењују на лош начин онда нам праве проблеме и са тим као друштво морамо да се носимо.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92FD0" w:rsidRDefault="00192FD0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Др Радослав Јовић је сумњу у добробит вакцинације оценио као непоштовање чињеница науке што је несхватљива појава у 21 веку.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Сматра да је томе допринело и неколико претходних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догађаја  као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што је епидемија свињског грипа, те да је од нивоа Светске здравствене организације па до националних служби за заштиту здравља становништва направљено низ грешака а једна од њих је и увођење у здравствени систем алтернативне медицине. Сматра да у тој области има добар део „шарлатана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“ који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нарушавају овај систем, те да у том погледу држава мора да има јасан став. Апострофирао је значај превентиве у очувању здравља станвништва те мултидисциплинарност ове теме у којој је систем образовања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васпитања  важан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сегмент.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Мишљења је да нашем основном и средњошколском образовном програму недостају предмети у оквиру којих се изучава здравствена заштита те да би и лекари требало више да се баве превентивом и да држе предавања у школама.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2FD0" w:rsidRDefault="00192FD0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Министар здравља др Златибор Лончар</w:t>
      </w:r>
      <w:r w:rsidR="003B6484">
        <w:rPr>
          <w:rFonts w:ascii="Times New Roman" w:eastAsia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захвалио је свима који су дали подршку афирмацији вакцинације и изразио задовољство због резултата у периоду између две седнице Одбора. Сугерисао је следеће: да се у наредном периоду интензивира кампања вакцинације; да је разматрањем ове теме утврђено да постоји неусклађеност Закона о заштити становништва од заразних болести и Закона о правима пацијената у њиховој примени, које треба решити у што краћем року и тиме отклонити све недоумице лекара и родитеља у вези са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вакцинацијом; упоредити искуства земаља из окружења и других развијенијих земаља у вези са овим питањем, и исте представити на седници као и дешавања у другим земљама која би нама била од значаја; на следећој седници требало би дати и конкретне податке односно тачан број вакцинисаних као и даље тенденције.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Нагласио је да лекари своје аргументе заснивају на научним чињеницама, да су у томе јединствени и да неће одступити ни од закона ни од струке.</w:t>
      </w:r>
      <w:proofErr w:type="gramEnd"/>
    </w:p>
    <w:p w:rsidR="00192FD0" w:rsidRDefault="00192FD0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Председник Републичке стручне комисије за заштиту становништва од заразних болести, проф.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Мијомир Пелемиш је изразио задовољство због подршке вакцинацији и поручио да је важно упознати јавност да сви  релевантни чиниоци у држави имају исти став</w:t>
      </w:r>
      <w:r w:rsidRPr="003442B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 томе, уз напомену да тако није било у блиској прошлости. Подсетио је да су у време епидемије свињског грипа, на седницама овог одбора, људи из струке били као на оптуженичкој клупи и да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су  поједини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народни посланици давали лични пример да неће да се вакцинишу.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Зато је важно, по речима проф.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Пелемиша, да су чланови овог одбора схватили проблем и да озбиљно помажу струци.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Такође је подсетио да је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током  епидемије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вариоле вере 1972.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eastAsia="Times New Roman" w:hAnsi="Times New Roman"/>
          <w:sz w:val="24"/>
          <w:szCs w:val="24"/>
        </w:rPr>
        <w:t>,</w:t>
      </w:r>
      <w:r w:rsidRPr="003442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3D74">
        <w:rPr>
          <w:rFonts w:ascii="Times New Roman" w:eastAsia="Times New Roman" w:hAnsi="Times New Roman"/>
          <w:sz w:val="24"/>
          <w:szCs w:val="24"/>
        </w:rPr>
        <w:t xml:space="preserve">вакцинисано 20 милиона становника </w:t>
      </w:r>
      <w:r>
        <w:rPr>
          <w:rFonts w:ascii="Times New Roman" w:eastAsia="Times New Roman" w:hAnsi="Times New Roman"/>
          <w:sz w:val="24"/>
          <w:szCs w:val="24"/>
        </w:rPr>
        <w:t xml:space="preserve">и спречено на хиљаде смртних исхода, те да је то пример огромне подршке државе и јавности у спровођењу вакцинације.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Нагласио је и потребу већег ангажовања педијатара односно педијатријске катедре с обзиром на њихову компетентност.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Сматра да досадашњи напори већ дају резултате и да се епидемија морбила смањује.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Сугерисао је да се информисање и едукација о овој теми спроводи где год је то могуће те да се сучељавају ставови са онима који мисле другачије од струке.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Најавио је да ће нови законом о заразним болестима који је у изради, као и његова подзаконска акта, много тога прецизити и олакшати у пракси.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2FD0" w:rsidRDefault="00192FD0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Проф. Недељко Радловић,</w:t>
      </w:r>
      <w:r w:rsidRPr="007D038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председник педијатријске секције Српског лекарског друштва навео је да је имунопрофилакса веома важна тема у настави на основним и специјалистичким студијама медицине, те да студент медицине не може да положи испит уколико не зна програм вакцинације.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Такође је навео да је ова тема заступљена на семинарима и стручним састанцима које организује педијатријска секција Српског лекарског друштва, као и да у оквиру Академије медицинских наука, заједно са проф.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Зораном Радовановићем, организују скупове на ову тему.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Сматра да је велика одговорност медија и новинара који за саговорнике на одређене теме треба да позивају људе из струке.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Према мишљењу проф.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Радловића, усклађивање законске регулативе је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императив  како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би се педијатрима омогућило да свој посао обављају без страха и дилема.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 вези са тим педијатри траже заштиту државе како би свој посао обављали савесно и у складу са законом.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Изнео је да готово сва обољења имају корен у детињству или пре рођења и да педијатри зато раде веома озбиљан и одговоран посао.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Такође је изнео да у нашем образовном систему нема довољно тема које третирају област здравља, које говоре о здравом стилу живота, 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правилној  исхрани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о имунопрофилакси, дојењу итд.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Залаже се да се у свим сегментима живота, у образовању, медијима, промовише вакцинација, дојење, здраве намирнице у исхрани, затим да се забране пекаре у близини школа а уместо ових да се у школама уведе колективна исхрана деце под стручним надзором.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2FD0" w:rsidRPr="00AF7B92" w:rsidRDefault="00192FD0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Прим. др Љиљана Станковић, неонатолог у Гинеколошко акушерској клиници ''Народни фронт'', нагласила је важност јединственог става свих релевантних чинилаца у Србији о питању вакцинације, а затим је скренула пажњу на проблеме који се јављају у пракси.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Наиме, лекар је дужан да поштује </w:t>
      </w:r>
      <w:r>
        <w:rPr>
          <w:rFonts w:ascii="Times New Roman" w:eastAsia="Times New Roman" w:hAnsi="Times New Roman"/>
          <w:sz w:val="24"/>
          <w:szCs w:val="24"/>
        </w:rPr>
        <w:lastRenderedPageBreak/>
        <w:t>закон који прописује обавезну вакцинацију, а проблем настаје када родитељ не жели да дете прими вакцину.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Лекар у интересу здравља детета, вакцинише дете, а санитарни инспектор износи мишљење да дете није смело да буде вакцинисано без сагласности родитеља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истовремено  подноси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захтев за покретање прекршајног поступка против овог родитеља јер је одбио да поступи по закону односно да вакцинише дете.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Докторка Станковић сматра да лекар у конкретној ситуацији савесно ради свој посао јер је вакцина потпуно оправдана и обавезна медицинска мера.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Родитељ затим покреће поступак дисциплинске одговорности пред судом части Лекарске коморе Србије због повреде професионалне дужности члана коморе, односно лекара који је вакцинисао дете.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 тим у вези апеловала је на надлежне да се уреди законска регулатива како не би долазило до оваквих ситуација.</w:t>
      </w:r>
      <w:proofErr w:type="gramEnd"/>
    </w:p>
    <w:p w:rsidR="00192FD0" w:rsidRDefault="00192FD0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Др Бранислав Блажић је истакао да је имунизација спасила човечанство и и да то најбоље објашњава потребу за вакцинацијом.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Навео је да сада треба уредити законску регулативу у овој области, стално едуковати становништво у складу са научним ставовима и истим аргументима се борити против оних који се медицином баве са аспекта надрилекарства.</w:t>
      </w:r>
      <w:proofErr w:type="gramEnd"/>
    </w:p>
    <w:p w:rsidR="00192FD0" w:rsidRDefault="00192FD0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Председник удружења „Родитељ“ Драгана Соћанин упозорила је да се здравље невакцинисаног детета доводи у питање као и здравље друге деце са којим борави у школи или предшколској установи, те да је важно законом предвидети да се невакцинисана деца не могу уписати у исте, осим ако се то не чини из медицински оправданих разлога.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Нагласила је да је родитељско право неприкосновено али да оно не сме бити супротно интересима здравља детета, те да би у том смислу одбијање вакцинисања детета требало третирати као занемаривање детета.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Навела је да су настојали да нађу неку асоцијацију или удружење грађана који су против вакцинације али да у томе нису успели, јер ови углавном делују анонимно, те је и Удружење „Родитељ“ добило више анонимних мејлова и позива у којима су оптуживани да су на страни фармакомафије.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Још једном је апеловала да се не сме дозволити несавесним појединцима да угрожавају живот детета и друштва.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2FD0" w:rsidRDefault="00192FD0" w:rsidP="00192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Председник Одбора, проф.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др Славица Ђукић Дејановић је закључујући дискусију нагласила да је евалуација стања у области вакцинисања стални задатак овог одбора у наредном периоду, те је предложила да се Одбор изјасни о закључку да</w:t>
      </w:r>
      <w:r>
        <w:rPr>
          <w:rFonts w:ascii="Times New Roman" w:hAnsi="Times New Roman"/>
          <w:sz w:val="24"/>
          <w:szCs w:val="24"/>
        </w:rPr>
        <w:t xml:space="preserve"> вакцинација захтева свеобухватан приступ државе и друштва, укључујући и законско уређење ове материје у смислу усклађивања члана 25. </w:t>
      </w:r>
      <w:proofErr w:type="gramStart"/>
      <w:r>
        <w:rPr>
          <w:rFonts w:ascii="Times New Roman" w:hAnsi="Times New Roman"/>
          <w:sz w:val="24"/>
          <w:szCs w:val="24"/>
        </w:rPr>
        <w:t>Закона о заштити становништва од заразних болести и члана 15.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Закона о правима пацијената, који је Одбор једногласно усвојио.</w:t>
      </w:r>
      <w:proofErr w:type="gramEnd"/>
    </w:p>
    <w:p w:rsidR="00192FD0" w:rsidRDefault="00192FD0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2FD0" w:rsidRDefault="00192FD0" w:rsidP="00192F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Седница је завршена у 12.00 часова.</w:t>
      </w:r>
      <w:proofErr w:type="gramEnd"/>
    </w:p>
    <w:p w:rsidR="00192FD0" w:rsidRDefault="00192FD0" w:rsidP="00192F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2FD0" w:rsidRDefault="00192FD0" w:rsidP="00192FD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192FD0" w:rsidRDefault="00192FD0" w:rsidP="00192FD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                                   ПРЕДСЕДНИК </w:t>
      </w:r>
    </w:p>
    <w:p w:rsidR="00192FD0" w:rsidRDefault="00192FD0" w:rsidP="00192FD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2FD0" w:rsidRDefault="00192FD0" w:rsidP="00192FD0">
      <w:pPr>
        <w:tabs>
          <w:tab w:val="left" w:pos="5805"/>
        </w:tabs>
        <w:spacing w:after="0" w:line="240" w:lineRule="auto"/>
        <w:ind w:right="-165" w:hanging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Божана Војиновић                                                Проф. др Славица Ђукић Дејановић</w:t>
      </w:r>
    </w:p>
    <w:p w:rsidR="00192FD0" w:rsidRDefault="00192FD0" w:rsidP="00192FD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2FD0" w:rsidRDefault="00192FD0" w:rsidP="00192F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2FD0" w:rsidRDefault="00192FD0" w:rsidP="00192FD0">
      <w:pPr>
        <w:rPr>
          <w:lang w:val="sr-Cyrl-CS"/>
        </w:rPr>
      </w:pPr>
    </w:p>
    <w:p w:rsidR="00192FD0" w:rsidRDefault="00192FD0" w:rsidP="00192FD0"/>
    <w:p w:rsidR="00031CD2" w:rsidRPr="00192FD0" w:rsidRDefault="00031CD2" w:rsidP="00192FD0"/>
    <w:sectPr w:rsidR="00031CD2" w:rsidRPr="00192FD0" w:rsidSect="009F4C78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21C"/>
    <w:multiLevelType w:val="hybridMultilevel"/>
    <w:tmpl w:val="5EE60656"/>
    <w:lvl w:ilvl="0" w:tplc="6CE06FB2">
      <w:start w:val="1"/>
      <w:numFmt w:val="decimal"/>
      <w:lvlText w:val="%1."/>
      <w:lvlJc w:val="left"/>
      <w:pPr>
        <w:ind w:left="720" w:hanging="360"/>
      </w:pPr>
    </w:lvl>
    <w:lvl w:ilvl="1" w:tplc="8B6C404E">
      <w:start w:val="1"/>
      <w:numFmt w:val="lowerLetter"/>
      <w:lvlText w:val="%2."/>
      <w:lvlJc w:val="left"/>
      <w:pPr>
        <w:ind w:left="1440" w:hanging="360"/>
      </w:pPr>
    </w:lvl>
    <w:lvl w:ilvl="2" w:tplc="41C6986C">
      <w:start w:val="1"/>
      <w:numFmt w:val="lowerRoman"/>
      <w:lvlText w:val="%3."/>
      <w:lvlJc w:val="right"/>
      <w:pPr>
        <w:ind w:left="2160" w:hanging="180"/>
      </w:pPr>
    </w:lvl>
    <w:lvl w:ilvl="3" w:tplc="F63E5B84">
      <w:start w:val="1"/>
      <w:numFmt w:val="decimal"/>
      <w:lvlText w:val="%4."/>
      <w:lvlJc w:val="left"/>
      <w:pPr>
        <w:ind w:left="2880" w:hanging="360"/>
      </w:pPr>
    </w:lvl>
    <w:lvl w:ilvl="4" w:tplc="6190638A">
      <w:start w:val="1"/>
      <w:numFmt w:val="lowerLetter"/>
      <w:lvlText w:val="%5."/>
      <w:lvlJc w:val="left"/>
      <w:pPr>
        <w:ind w:left="3600" w:hanging="360"/>
      </w:pPr>
    </w:lvl>
    <w:lvl w:ilvl="5" w:tplc="3738E0C2">
      <w:start w:val="1"/>
      <w:numFmt w:val="lowerRoman"/>
      <w:lvlText w:val="%6."/>
      <w:lvlJc w:val="right"/>
      <w:pPr>
        <w:ind w:left="4320" w:hanging="180"/>
      </w:pPr>
    </w:lvl>
    <w:lvl w:ilvl="6" w:tplc="1F7898A2">
      <w:start w:val="1"/>
      <w:numFmt w:val="decimal"/>
      <w:lvlText w:val="%7."/>
      <w:lvlJc w:val="left"/>
      <w:pPr>
        <w:ind w:left="5040" w:hanging="360"/>
      </w:pPr>
    </w:lvl>
    <w:lvl w:ilvl="7" w:tplc="F6C45754">
      <w:start w:val="1"/>
      <w:numFmt w:val="lowerLetter"/>
      <w:lvlText w:val="%8."/>
      <w:lvlJc w:val="left"/>
      <w:pPr>
        <w:ind w:left="5760" w:hanging="360"/>
      </w:pPr>
    </w:lvl>
    <w:lvl w:ilvl="8" w:tplc="B0BCC9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1B0"/>
    <w:multiLevelType w:val="hybridMultilevel"/>
    <w:tmpl w:val="0B8436B2"/>
    <w:lvl w:ilvl="0" w:tplc="E7B23C4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2CEE3382">
      <w:start w:val="1"/>
      <w:numFmt w:val="lowerLetter"/>
      <w:lvlText w:val="%2."/>
      <w:lvlJc w:val="left"/>
      <w:pPr>
        <w:ind w:left="1560" w:hanging="360"/>
      </w:pPr>
    </w:lvl>
    <w:lvl w:ilvl="2" w:tplc="80826BCC">
      <w:start w:val="1"/>
      <w:numFmt w:val="lowerRoman"/>
      <w:lvlText w:val="%3."/>
      <w:lvlJc w:val="right"/>
      <w:pPr>
        <w:ind w:left="2280" w:hanging="180"/>
      </w:pPr>
    </w:lvl>
    <w:lvl w:ilvl="3" w:tplc="0D00F6B2">
      <w:start w:val="1"/>
      <w:numFmt w:val="decimal"/>
      <w:lvlText w:val="%4."/>
      <w:lvlJc w:val="left"/>
      <w:pPr>
        <w:ind w:left="3000" w:hanging="360"/>
      </w:pPr>
    </w:lvl>
    <w:lvl w:ilvl="4" w:tplc="C31A36B4">
      <w:start w:val="1"/>
      <w:numFmt w:val="lowerLetter"/>
      <w:lvlText w:val="%5."/>
      <w:lvlJc w:val="left"/>
      <w:pPr>
        <w:ind w:left="3720" w:hanging="360"/>
      </w:pPr>
    </w:lvl>
    <w:lvl w:ilvl="5" w:tplc="E482D2F4">
      <w:start w:val="1"/>
      <w:numFmt w:val="lowerRoman"/>
      <w:lvlText w:val="%6."/>
      <w:lvlJc w:val="right"/>
      <w:pPr>
        <w:ind w:left="4440" w:hanging="180"/>
      </w:pPr>
    </w:lvl>
    <w:lvl w:ilvl="6" w:tplc="6D84F9C0">
      <w:start w:val="1"/>
      <w:numFmt w:val="decimal"/>
      <w:lvlText w:val="%7."/>
      <w:lvlJc w:val="left"/>
      <w:pPr>
        <w:ind w:left="5160" w:hanging="360"/>
      </w:pPr>
    </w:lvl>
    <w:lvl w:ilvl="7" w:tplc="06506AE4">
      <w:start w:val="1"/>
      <w:numFmt w:val="lowerLetter"/>
      <w:lvlText w:val="%8."/>
      <w:lvlJc w:val="left"/>
      <w:pPr>
        <w:ind w:left="5880" w:hanging="360"/>
      </w:pPr>
    </w:lvl>
    <w:lvl w:ilvl="8" w:tplc="2648E02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3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8640E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2FD0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4DB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B6484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105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B62D5"/>
    <w:rsid w:val="005C5B59"/>
    <w:rsid w:val="005D1606"/>
    <w:rsid w:val="005D6AF0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565DE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1E94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37D32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5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059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NoSpacing">
    <w:name w:val="No Spacing"/>
    <w:qFormat/>
    <w:rsid w:val="00192FD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5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059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NoSpacing">
    <w:name w:val="No Spacing"/>
    <w:qFormat/>
    <w:rsid w:val="00192FD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2189</Words>
  <Characters>12483</Characters>
  <Application>Microsoft Office Word</Application>
  <DocSecurity>0</DocSecurity>
  <Lines>104</Lines>
  <Paragraphs>29</Paragraphs>
  <ScaleCrop>false</ScaleCrop>
  <Company/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14</cp:revision>
  <dcterms:created xsi:type="dcterms:W3CDTF">2015-07-07T10:20:00Z</dcterms:created>
  <dcterms:modified xsi:type="dcterms:W3CDTF">2015-07-07T10:25:00Z</dcterms:modified>
</cp:coreProperties>
</file>